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901" w:rsidRDefault="00195901"/>
    <w:p w:rsidR="00296687" w:rsidRPr="00BB6302" w:rsidRDefault="00296687" w:rsidP="00296687">
      <w:pPr>
        <w:pStyle w:val="2"/>
        <w:rPr>
          <w:color w:val="000000" w:themeColor="text1"/>
        </w:rPr>
      </w:pPr>
      <w:bookmarkStart w:id="0" w:name="_Toc102047094"/>
      <w:r w:rsidRPr="00BB6302">
        <w:rPr>
          <w:color w:val="000000" w:themeColor="text1"/>
        </w:rPr>
        <w:t>高級中等教育法第54條修正對照表</w:t>
      </w:r>
      <w:bookmarkEnd w:id="0"/>
    </w:p>
    <w:p w:rsidR="00296687" w:rsidRPr="00BB6302" w:rsidRDefault="00296687" w:rsidP="00BB6302">
      <w:pPr>
        <w:snapToGrid w:val="0"/>
        <w:spacing w:beforeLines="50"/>
        <w:jc w:val="right"/>
        <w:rPr>
          <w:rFonts w:eastAsia="標楷體" w:cs="Calibri"/>
          <w:color w:val="000000" w:themeColor="text1"/>
          <w:sz w:val="20"/>
        </w:rPr>
      </w:pPr>
      <w:r w:rsidRPr="00BB6302">
        <w:rPr>
          <w:rFonts w:eastAsia="標楷體" w:cs="Calibri"/>
          <w:color w:val="000000" w:themeColor="text1"/>
          <w:sz w:val="20"/>
        </w:rPr>
        <w:t>修正日期：民國</w:t>
      </w:r>
      <w:r w:rsidRPr="00BB6302">
        <w:rPr>
          <w:rFonts w:eastAsia="標楷體" w:cs="Calibri"/>
          <w:color w:val="000000" w:themeColor="text1"/>
          <w:sz w:val="20"/>
        </w:rPr>
        <w:t xml:space="preserve"> 110 </w:t>
      </w:r>
      <w:r w:rsidRPr="00BB6302">
        <w:rPr>
          <w:rFonts w:eastAsia="標楷體" w:cs="Calibri"/>
          <w:color w:val="000000" w:themeColor="text1"/>
          <w:sz w:val="20"/>
        </w:rPr>
        <w:t>年</w:t>
      </w:r>
      <w:r w:rsidRPr="00BB6302">
        <w:rPr>
          <w:rFonts w:eastAsia="標楷體" w:cs="Calibri"/>
          <w:color w:val="000000" w:themeColor="text1"/>
          <w:sz w:val="20"/>
        </w:rPr>
        <w:t xml:space="preserve"> 05 </w:t>
      </w:r>
      <w:r w:rsidRPr="00BB6302">
        <w:rPr>
          <w:rFonts w:eastAsia="標楷體" w:cs="Calibri"/>
          <w:color w:val="000000" w:themeColor="text1"/>
          <w:sz w:val="20"/>
        </w:rPr>
        <w:t>月</w:t>
      </w:r>
      <w:r w:rsidRPr="00BB6302">
        <w:rPr>
          <w:rFonts w:eastAsia="標楷體" w:cs="Calibri"/>
          <w:color w:val="000000" w:themeColor="text1"/>
          <w:sz w:val="20"/>
        </w:rPr>
        <w:t xml:space="preserve"> 26 </w:t>
      </w:r>
      <w:r w:rsidRPr="00BB6302">
        <w:rPr>
          <w:rFonts w:eastAsia="標楷體" w:cs="Calibri"/>
          <w:color w:val="000000" w:themeColor="text1"/>
          <w:sz w:val="20"/>
        </w:rPr>
        <w:t>日</w:t>
      </w:r>
    </w:p>
    <w:p w:rsidR="00296687" w:rsidRPr="00BB6302" w:rsidRDefault="00296687" w:rsidP="00BB6302">
      <w:pPr>
        <w:snapToGrid w:val="0"/>
        <w:spacing w:afterLines="50"/>
        <w:jc w:val="right"/>
        <w:rPr>
          <w:rFonts w:eastAsia="標楷體" w:cs="Calibri"/>
          <w:color w:val="000000" w:themeColor="text1"/>
          <w:sz w:val="20"/>
        </w:rPr>
      </w:pPr>
      <w:r w:rsidRPr="00BB6302">
        <w:rPr>
          <w:rFonts w:eastAsia="標楷體" w:cs="Calibri"/>
          <w:color w:val="000000" w:themeColor="text1"/>
          <w:sz w:val="20"/>
        </w:rPr>
        <w:t>發文字號：華總</w:t>
      </w:r>
      <w:proofErr w:type="gramStart"/>
      <w:r w:rsidRPr="00BB6302">
        <w:rPr>
          <w:rFonts w:eastAsia="標楷體" w:cs="Calibri"/>
          <w:color w:val="000000" w:themeColor="text1"/>
          <w:sz w:val="20"/>
        </w:rPr>
        <w:t>一義字第</w:t>
      </w:r>
      <w:r w:rsidRPr="00BB6302">
        <w:rPr>
          <w:rFonts w:eastAsia="標楷體" w:cs="Calibri"/>
          <w:color w:val="000000" w:themeColor="text1"/>
          <w:sz w:val="20"/>
        </w:rPr>
        <w:t>11000049231</w:t>
      </w:r>
      <w:r w:rsidRPr="00BB6302">
        <w:rPr>
          <w:rFonts w:eastAsia="標楷體" w:cs="Calibri"/>
          <w:color w:val="000000" w:themeColor="text1"/>
          <w:sz w:val="20"/>
        </w:rPr>
        <w:t>號</w:t>
      </w:r>
      <w:proofErr w:type="gramEnd"/>
      <w:r w:rsidRPr="00BB6302">
        <w:rPr>
          <w:rFonts w:eastAsia="標楷體" w:cs="Calibri"/>
          <w:color w:val="000000" w:themeColor="text1"/>
          <w:sz w:val="20"/>
        </w:rPr>
        <w:t xml:space="preserve"> </w:t>
      </w:r>
      <w:r w:rsidRPr="00BB6302">
        <w:rPr>
          <w:rFonts w:eastAsia="標楷體" w:cs="Calibri"/>
          <w:color w:val="000000" w:themeColor="text1"/>
          <w:sz w:val="20"/>
        </w:rPr>
        <w:t>令</w:t>
      </w:r>
    </w:p>
    <w:tbl>
      <w:tblPr>
        <w:tblW w:w="96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5931"/>
        <w:gridCol w:w="3686"/>
      </w:tblGrid>
      <w:tr w:rsidR="00296687" w:rsidRPr="00BB6302" w:rsidTr="00E43BEB">
        <w:trPr>
          <w:trHeight w:val="448"/>
          <w:tblHeader/>
          <w:jc w:val="center"/>
        </w:trPr>
        <w:tc>
          <w:tcPr>
            <w:tcW w:w="5931" w:type="dxa"/>
            <w:shd w:val="clear" w:color="auto" w:fill="E2EFD9"/>
            <w:vAlign w:val="center"/>
          </w:tcPr>
          <w:p w:rsidR="00296687" w:rsidRPr="00BB6302" w:rsidRDefault="00296687" w:rsidP="00E43BEB">
            <w:pPr>
              <w:snapToGrid w:val="0"/>
              <w:jc w:val="center"/>
              <w:rPr>
                <w:rFonts w:ascii="標楷體" w:eastAsia="標楷體" w:hAnsi="標楷體"/>
                <w:b/>
                <w:color w:val="000000" w:themeColor="text1"/>
                <w:kern w:val="0"/>
                <w:sz w:val="28"/>
                <w:szCs w:val="20"/>
              </w:rPr>
            </w:pPr>
            <w:r w:rsidRPr="00BB6302">
              <w:rPr>
                <w:rFonts w:ascii="標楷體" w:eastAsia="標楷體" w:hAnsi="標楷體"/>
                <w:b/>
                <w:color w:val="000000" w:themeColor="text1"/>
                <w:kern w:val="0"/>
                <w:sz w:val="28"/>
                <w:szCs w:val="20"/>
              </w:rPr>
              <w:t>修</w:t>
            </w:r>
            <w:r w:rsidRPr="00BB6302">
              <w:rPr>
                <w:rFonts w:ascii="標楷體" w:eastAsia="標楷體" w:hAnsi="標楷體" w:hint="eastAsia"/>
                <w:b/>
                <w:color w:val="000000" w:themeColor="text1"/>
                <w:kern w:val="0"/>
                <w:sz w:val="28"/>
                <w:szCs w:val="20"/>
              </w:rPr>
              <w:t xml:space="preserve"> </w:t>
            </w:r>
            <w:r w:rsidRPr="00BB6302">
              <w:rPr>
                <w:rFonts w:ascii="標楷體" w:eastAsia="標楷體" w:hAnsi="標楷體"/>
                <w:b/>
                <w:color w:val="000000" w:themeColor="text1"/>
                <w:kern w:val="0"/>
                <w:sz w:val="28"/>
                <w:szCs w:val="20"/>
              </w:rPr>
              <w:t>正</w:t>
            </w:r>
            <w:r w:rsidRPr="00BB6302">
              <w:rPr>
                <w:rFonts w:ascii="標楷體" w:eastAsia="標楷體" w:hAnsi="標楷體" w:hint="eastAsia"/>
                <w:b/>
                <w:color w:val="000000" w:themeColor="text1"/>
                <w:kern w:val="0"/>
                <w:sz w:val="28"/>
                <w:szCs w:val="20"/>
              </w:rPr>
              <w:t xml:space="preserve"> </w:t>
            </w:r>
            <w:r w:rsidRPr="00BB6302">
              <w:rPr>
                <w:rFonts w:ascii="標楷體" w:eastAsia="標楷體" w:hAnsi="標楷體"/>
                <w:b/>
                <w:color w:val="000000" w:themeColor="text1"/>
                <w:kern w:val="0"/>
                <w:sz w:val="28"/>
                <w:szCs w:val="20"/>
              </w:rPr>
              <w:t>條</w:t>
            </w:r>
            <w:r w:rsidRPr="00BB6302">
              <w:rPr>
                <w:rFonts w:ascii="標楷體" w:eastAsia="標楷體" w:hAnsi="標楷體" w:hint="eastAsia"/>
                <w:b/>
                <w:color w:val="000000" w:themeColor="text1"/>
                <w:kern w:val="0"/>
                <w:sz w:val="28"/>
                <w:szCs w:val="20"/>
              </w:rPr>
              <w:t xml:space="preserve"> </w:t>
            </w:r>
            <w:r w:rsidRPr="00BB6302">
              <w:rPr>
                <w:rFonts w:ascii="標楷體" w:eastAsia="標楷體" w:hAnsi="標楷體"/>
                <w:b/>
                <w:color w:val="000000" w:themeColor="text1"/>
                <w:kern w:val="0"/>
                <w:sz w:val="28"/>
                <w:szCs w:val="20"/>
              </w:rPr>
              <w:t>文</w:t>
            </w:r>
          </w:p>
        </w:tc>
        <w:tc>
          <w:tcPr>
            <w:tcW w:w="3686" w:type="dxa"/>
            <w:shd w:val="clear" w:color="auto" w:fill="E2EFD9"/>
            <w:vAlign w:val="center"/>
          </w:tcPr>
          <w:p w:rsidR="00296687" w:rsidRPr="00BB6302" w:rsidRDefault="00296687" w:rsidP="00E43BEB">
            <w:pPr>
              <w:snapToGrid w:val="0"/>
              <w:jc w:val="center"/>
              <w:rPr>
                <w:rFonts w:ascii="標楷體" w:eastAsia="標楷體" w:hAnsi="標楷體"/>
                <w:b/>
                <w:color w:val="000000" w:themeColor="text1"/>
                <w:kern w:val="0"/>
                <w:sz w:val="28"/>
                <w:szCs w:val="20"/>
              </w:rPr>
            </w:pPr>
            <w:r w:rsidRPr="00BB6302">
              <w:rPr>
                <w:rFonts w:ascii="標楷體" w:eastAsia="標楷體" w:hAnsi="標楷體"/>
                <w:b/>
                <w:color w:val="000000" w:themeColor="text1"/>
                <w:kern w:val="0"/>
                <w:sz w:val="28"/>
                <w:szCs w:val="20"/>
              </w:rPr>
              <w:t>原</w:t>
            </w:r>
            <w:r w:rsidRPr="00BB6302">
              <w:rPr>
                <w:rFonts w:ascii="標楷體" w:eastAsia="標楷體" w:hAnsi="標楷體" w:hint="eastAsia"/>
                <w:b/>
                <w:color w:val="000000" w:themeColor="text1"/>
                <w:kern w:val="0"/>
                <w:sz w:val="28"/>
                <w:szCs w:val="20"/>
              </w:rPr>
              <w:t xml:space="preserve"> </w:t>
            </w:r>
            <w:r w:rsidRPr="00BB6302">
              <w:rPr>
                <w:rFonts w:ascii="標楷體" w:eastAsia="標楷體" w:hAnsi="標楷體"/>
                <w:b/>
                <w:color w:val="000000" w:themeColor="text1"/>
                <w:kern w:val="0"/>
                <w:sz w:val="28"/>
                <w:szCs w:val="20"/>
              </w:rPr>
              <w:t>條</w:t>
            </w:r>
            <w:r w:rsidRPr="00BB6302">
              <w:rPr>
                <w:rFonts w:ascii="標楷體" w:eastAsia="標楷體" w:hAnsi="標楷體" w:hint="eastAsia"/>
                <w:b/>
                <w:color w:val="000000" w:themeColor="text1"/>
                <w:kern w:val="0"/>
                <w:sz w:val="28"/>
                <w:szCs w:val="20"/>
              </w:rPr>
              <w:t xml:space="preserve"> </w:t>
            </w:r>
            <w:r w:rsidRPr="00BB6302">
              <w:rPr>
                <w:rFonts w:ascii="標楷體" w:eastAsia="標楷體" w:hAnsi="標楷體"/>
                <w:b/>
                <w:color w:val="000000" w:themeColor="text1"/>
                <w:kern w:val="0"/>
                <w:sz w:val="28"/>
                <w:szCs w:val="20"/>
              </w:rPr>
              <w:t>文</w:t>
            </w:r>
          </w:p>
        </w:tc>
      </w:tr>
      <w:tr w:rsidR="00296687" w:rsidRPr="00BB6302" w:rsidTr="00E43BEB">
        <w:trPr>
          <w:trHeight w:val="10756"/>
          <w:jc w:val="center"/>
        </w:trPr>
        <w:tc>
          <w:tcPr>
            <w:tcW w:w="5931" w:type="dxa"/>
            <w:shd w:val="clear" w:color="auto" w:fill="auto"/>
          </w:tcPr>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r w:rsidRPr="00BB6302">
              <w:rPr>
                <w:rFonts w:ascii="微軟正黑體" w:eastAsia="微軟正黑體" w:hAnsi="微軟正黑體" w:cs="細明體" w:hint="eastAsia"/>
                <w:color w:val="000000" w:themeColor="text1"/>
                <w:kern w:val="0"/>
                <w:sz w:val="22"/>
                <w:szCs w:val="20"/>
              </w:rPr>
              <w:t>第 54 條 </w:t>
            </w: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r w:rsidRPr="00BB6302">
              <w:rPr>
                <w:rFonts w:ascii="微軟正黑體" w:eastAsia="微軟正黑體" w:hAnsi="微軟正黑體" w:cs="細明體" w:hint="eastAsia"/>
                <w:color w:val="000000" w:themeColor="text1"/>
                <w:kern w:val="0"/>
                <w:sz w:val="22"/>
                <w:szCs w:val="20"/>
              </w:rPr>
              <w:t>學生權益之救濟，依本法所定申訴、再申訴程序行之。</w:t>
            </w: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r w:rsidRPr="00BB6302">
              <w:rPr>
                <w:rFonts w:ascii="微軟正黑體" w:eastAsia="微軟正黑體" w:hAnsi="微軟正黑體" w:cs="細明體" w:hint="eastAsia"/>
                <w:color w:val="000000" w:themeColor="text1"/>
                <w:kern w:val="0"/>
                <w:sz w:val="22"/>
                <w:szCs w:val="20"/>
              </w:rPr>
              <w:t>學生或學生自治組織對學校之懲處、其他措施或決議，認為違法或不當致損害其權益者，得向學校提出申訴；不服學校申訴決定，得向各該主管機關提出再申訴；</w:t>
            </w:r>
            <w:proofErr w:type="gramStart"/>
            <w:r w:rsidRPr="00BB6302">
              <w:rPr>
                <w:rFonts w:ascii="微軟正黑體" w:eastAsia="微軟正黑體" w:hAnsi="微軟正黑體" w:cs="細明體" w:hint="eastAsia"/>
                <w:color w:val="000000" w:themeColor="text1"/>
                <w:kern w:val="0"/>
                <w:sz w:val="22"/>
                <w:szCs w:val="20"/>
              </w:rPr>
              <w:t>其提起訴</w:t>
            </w:r>
            <w:proofErr w:type="gramEnd"/>
            <w:r w:rsidRPr="00BB6302">
              <w:rPr>
                <w:rFonts w:ascii="微軟正黑體" w:eastAsia="微軟正黑體" w:hAnsi="微軟正黑體" w:cs="細明體" w:hint="eastAsia"/>
                <w:color w:val="000000" w:themeColor="text1"/>
                <w:kern w:val="0"/>
                <w:sz w:val="22"/>
                <w:szCs w:val="20"/>
              </w:rPr>
              <w:t>願者，受理訴願機關應於十日內，將該事件移送應受理之學生申訴評議委員會或學生再申訴評議委員會，並通知學生或學生自治組織。</w:t>
            </w: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r w:rsidRPr="00BB6302">
              <w:rPr>
                <w:rFonts w:ascii="微軟正黑體" w:eastAsia="微軟正黑體" w:hAnsi="微軟正黑體" w:cs="細明體" w:hint="eastAsia"/>
                <w:color w:val="000000" w:themeColor="text1"/>
                <w:kern w:val="0"/>
                <w:sz w:val="22"/>
                <w:szCs w:val="20"/>
              </w:rPr>
              <w:t>申訴之提起，應於收受或知悉懲處、其他措施或決議之次日起</w:t>
            </w:r>
            <w:proofErr w:type="gramStart"/>
            <w:r w:rsidRPr="00BB6302">
              <w:rPr>
                <w:rFonts w:ascii="微軟正黑體" w:eastAsia="微軟正黑體" w:hAnsi="微軟正黑體" w:cs="細明體" w:hint="eastAsia"/>
                <w:color w:val="000000" w:themeColor="text1"/>
                <w:kern w:val="0"/>
                <w:sz w:val="22"/>
                <w:szCs w:val="20"/>
              </w:rPr>
              <w:t>三</w:t>
            </w:r>
            <w:proofErr w:type="gramEnd"/>
            <w:r w:rsidRPr="00BB6302">
              <w:rPr>
                <w:rFonts w:ascii="微軟正黑體" w:eastAsia="微軟正黑體" w:hAnsi="微軟正黑體" w:cs="細明體" w:hint="eastAsia"/>
                <w:color w:val="000000" w:themeColor="text1"/>
                <w:kern w:val="0"/>
                <w:sz w:val="22"/>
                <w:szCs w:val="20"/>
              </w:rPr>
              <w:t>十日內以書面為之；再申訴應於申訴評議書達到之次日起</w:t>
            </w:r>
            <w:proofErr w:type="gramStart"/>
            <w:r w:rsidRPr="00BB6302">
              <w:rPr>
                <w:rFonts w:ascii="微軟正黑體" w:eastAsia="微軟正黑體" w:hAnsi="微軟正黑體" w:cs="細明體" w:hint="eastAsia"/>
                <w:color w:val="000000" w:themeColor="text1"/>
                <w:kern w:val="0"/>
                <w:sz w:val="22"/>
                <w:szCs w:val="20"/>
              </w:rPr>
              <w:t>三</w:t>
            </w:r>
            <w:proofErr w:type="gramEnd"/>
            <w:r w:rsidRPr="00BB6302">
              <w:rPr>
                <w:rFonts w:ascii="微軟正黑體" w:eastAsia="微軟正黑體" w:hAnsi="微軟正黑體" w:cs="細明體" w:hint="eastAsia"/>
                <w:color w:val="000000" w:themeColor="text1"/>
                <w:kern w:val="0"/>
                <w:sz w:val="22"/>
                <w:szCs w:val="20"/>
              </w:rPr>
              <w:t>十日內以書面為之；其</w:t>
            </w:r>
            <w:proofErr w:type="gramStart"/>
            <w:r w:rsidRPr="00BB6302">
              <w:rPr>
                <w:rFonts w:ascii="微軟正黑體" w:eastAsia="微軟正黑體" w:hAnsi="微軟正黑體" w:cs="細明體" w:hint="eastAsia"/>
                <w:color w:val="000000" w:themeColor="text1"/>
                <w:kern w:val="0"/>
                <w:sz w:val="22"/>
                <w:szCs w:val="20"/>
              </w:rPr>
              <w:t>期間，</w:t>
            </w:r>
            <w:proofErr w:type="gramEnd"/>
            <w:r w:rsidRPr="00BB6302">
              <w:rPr>
                <w:rFonts w:ascii="微軟正黑體" w:eastAsia="微軟正黑體" w:hAnsi="微軟正黑體" w:cs="細明體" w:hint="eastAsia"/>
                <w:color w:val="000000" w:themeColor="text1"/>
                <w:kern w:val="0"/>
                <w:sz w:val="22"/>
                <w:szCs w:val="20"/>
              </w:rPr>
              <w:t>以學校收受申訴書或各該主管機關</w:t>
            </w:r>
            <w:proofErr w:type="gramStart"/>
            <w:r w:rsidRPr="00BB6302">
              <w:rPr>
                <w:rFonts w:ascii="微軟正黑體" w:eastAsia="微軟正黑體" w:hAnsi="微軟正黑體" w:cs="細明體" w:hint="eastAsia"/>
                <w:color w:val="000000" w:themeColor="text1"/>
                <w:kern w:val="0"/>
                <w:sz w:val="22"/>
                <w:szCs w:val="20"/>
              </w:rPr>
              <w:t>收受再申訴</w:t>
            </w:r>
            <w:proofErr w:type="gramEnd"/>
            <w:r w:rsidRPr="00BB6302">
              <w:rPr>
                <w:rFonts w:ascii="微軟正黑體" w:eastAsia="微軟正黑體" w:hAnsi="微軟正黑體" w:cs="細明體" w:hint="eastAsia"/>
                <w:color w:val="000000" w:themeColor="text1"/>
                <w:kern w:val="0"/>
                <w:sz w:val="22"/>
                <w:szCs w:val="20"/>
              </w:rPr>
              <w:t>書之日期為</w:t>
            </w:r>
            <w:proofErr w:type="gramStart"/>
            <w:r w:rsidRPr="00BB6302">
              <w:rPr>
                <w:rFonts w:ascii="微軟正黑體" w:eastAsia="微軟正黑體" w:hAnsi="微軟正黑體" w:cs="細明體" w:hint="eastAsia"/>
                <w:color w:val="000000" w:themeColor="text1"/>
                <w:kern w:val="0"/>
                <w:sz w:val="22"/>
                <w:szCs w:val="20"/>
              </w:rPr>
              <w:t>準</w:t>
            </w:r>
            <w:proofErr w:type="gramEnd"/>
            <w:r w:rsidRPr="00BB6302">
              <w:rPr>
                <w:rFonts w:ascii="微軟正黑體" w:eastAsia="微軟正黑體" w:hAnsi="微軟正黑體" w:cs="細明體" w:hint="eastAsia"/>
                <w:color w:val="000000" w:themeColor="text1"/>
                <w:kern w:val="0"/>
                <w:sz w:val="22"/>
                <w:szCs w:val="20"/>
              </w:rPr>
              <w:t>。</w:t>
            </w: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r w:rsidRPr="00BB6302">
              <w:rPr>
                <w:rFonts w:ascii="微軟正黑體" w:eastAsia="微軟正黑體" w:hAnsi="微軟正黑體" w:cs="細明體" w:hint="eastAsia"/>
                <w:color w:val="000000" w:themeColor="text1"/>
                <w:kern w:val="0"/>
                <w:sz w:val="22"/>
                <w:szCs w:val="20"/>
              </w:rPr>
              <w:t>高級中等學校應設學生申訴評議委員會，委員會之組成應包括經選舉產生之學生代表或學生會代表，並應包括法律、教育、兒童及少年權利、心理或輔導專家學者至少一人；各該主管機關應設學生再申訴評議委員會，其中法律、教育、兒童及少年權利、心理或輔導專家學者人數應逾委員總數二分之一；學生申訴評議委員會及學生再申訴評議委員會，任</w:t>
            </w:r>
            <w:proofErr w:type="gramStart"/>
            <w:r w:rsidRPr="00BB6302">
              <w:rPr>
                <w:rFonts w:ascii="微軟正黑體" w:eastAsia="微軟正黑體" w:hAnsi="微軟正黑體" w:cs="細明體" w:hint="eastAsia"/>
                <w:color w:val="000000" w:themeColor="text1"/>
                <w:kern w:val="0"/>
                <w:sz w:val="22"/>
                <w:szCs w:val="20"/>
              </w:rPr>
              <w:t>一</w:t>
            </w:r>
            <w:proofErr w:type="gramEnd"/>
            <w:r w:rsidRPr="00BB6302">
              <w:rPr>
                <w:rFonts w:ascii="微軟正黑體" w:eastAsia="微軟正黑體" w:hAnsi="微軟正黑體" w:cs="細明體" w:hint="eastAsia"/>
                <w:color w:val="000000" w:themeColor="text1"/>
                <w:kern w:val="0"/>
                <w:sz w:val="22"/>
                <w:szCs w:val="20"/>
              </w:rPr>
              <w:t>性別委員人數不得少於委員總數三分之一；其申訴、再申訴範圍、期限、委員會組成、調查方式、評議方式、評議結果之執行及其他相關事項之辦法，由中央主管機關定之。</w:t>
            </w: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r w:rsidRPr="00BB6302">
              <w:rPr>
                <w:rFonts w:ascii="微軟正黑體" w:eastAsia="微軟正黑體" w:hAnsi="微軟正黑體" w:cs="細明體" w:hint="eastAsia"/>
                <w:color w:val="000000" w:themeColor="text1"/>
                <w:kern w:val="0"/>
                <w:sz w:val="22"/>
                <w:szCs w:val="20"/>
              </w:rPr>
              <w:t>學校受理第五十二條、第二項及前項之懲處或申訴事件，各該主管機關受理再申訴事件時，應秉持客觀、公正、專業之原則，給予受懲處人或申訴人、再申訴人充分陳述意見及答辯之機會。</w:t>
            </w: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r w:rsidRPr="00BB6302">
              <w:rPr>
                <w:rFonts w:ascii="微軟正黑體" w:eastAsia="微軟正黑體" w:hAnsi="微軟正黑體" w:cs="細明體" w:hint="eastAsia"/>
                <w:color w:val="000000" w:themeColor="text1"/>
                <w:kern w:val="0"/>
                <w:sz w:val="22"/>
                <w:szCs w:val="20"/>
              </w:rPr>
              <w:t>學校應以書面或其他適當方式告知受懲處人；學校及各該主管機關應以書面告知申訴人或再申訴人，各該評議決定及不服該決定之相關救濟程序。</w:t>
            </w:r>
          </w:p>
          <w:p w:rsidR="00296687" w:rsidRPr="00BB6302" w:rsidRDefault="00296687" w:rsidP="00E43BEB">
            <w:pPr>
              <w:pStyle w:val="a1xi"/>
              <w:rPr>
                <w:color w:val="000000" w:themeColor="text1"/>
                <w:szCs w:val="20"/>
              </w:rPr>
            </w:pPr>
            <w:r w:rsidRPr="00BB6302">
              <w:rPr>
                <w:rFonts w:hint="eastAsia"/>
                <w:color w:val="000000" w:themeColor="text1"/>
                <w:szCs w:val="20"/>
              </w:rPr>
              <w:t>原懲處、措施或決議性質屬行政處分者，其再申訴決定視同</w:t>
            </w:r>
            <w:r w:rsidRPr="00BB6302">
              <w:rPr>
                <w:rFonts w:hint="eastAsia"/>
                <w:color w:val="000000" w:themeColor="text1"/>
                <w:szCs w:val="20"/>
              </w:rPr>
              <w:lastRenderedPageBreak/>
              <w:t>訴願決定；不服再申訴決定者，得依法提起行政訴訟。</w:t>
            </w: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r w:rsidRPr="00BB6302">
              <w:rPr>
                <w:rFonts w:ascii="微軟正黑體" w:eastAsia="微軟正黑體" w:hAnsi="微軟正黑體" w:cs="細明體" w:hint="eastAsia"/>
                <w:b/>
                <w:bCs/>
                <w:color w:val="000000" w:themeColor="text1"/>
                <w:kern w:val="0"/>
                <w:sz w:val="22"/>
                <w:szCs w:val="20"/>
              </w:rPr>
              <w:t>第 54-1 條 </w:t>
            </w: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r w:rsidRPr="00BB6302">
              <w:rPr>
                <w:rFonts w:ascii="微軟正黑體" w:eastAsia="微軟正黑體" w:hAnsi="微軟正黑體" w:cs="細明體" w:hint="eastAsia"/>
                <w:color w:val="000000" w:themeColor="text1"/>
                <w:kern w:val="0"/>
                <w:sz w:val="22"/>
                <w:szCs w:val="20"/>
              </w:rPr>
              <w:t>中華民國一百十年五月十一日修正之條規定，自公布後一年施行。</w:t>
            </w:r>
          </w:p>
          <w:p w:rsidR="00296687" w:rsidRPr="00BB6302" w:rsidRDefault="00296687" w:rsidP="00E43BEB">
            <w:pPr>
              <w:snapToGrid w:val="0"/>
              <w:spacing w:line="340" w:lineRule="exact"/>
              <w:jc w:val="both"/>
              <w:rPr>
                <w:rFonts w:ascii="微軟正黑體" w:eastAsia="微軟正黑體" w:hAnsi="微軟正黑體" w:cs="細明體"/>
                <w:color w:val="000000" w:themeColor="text1"/>
                <w:kern w:val="0"/>
                <w:sz w:val="22"/>
                <w:szCs w:val="20"/>
              </w:rPr>
            </w:pPr>
            <w:r w:rsidRPr="00BB6302">
              <w:rPr>
                <w:rFonts w:ascii="微軟正黑體" w:eastAsia="微軟正黑體" w:hAnsi="微軟正黑體" w:cs="細明體" w:hint="eastAsia"/>
                <w:color w:val="000000" w:themeColor="text1"/>
                <w:kern w:val="0"/>
                <w:sz w:val="22"/>
                <w:szCs w:val="20"/>
              </w:rPr>
              <w:t>中華民國一百十年五月十一日修正</w:t>
            </w:r>
            <w:proofErr w:type="gramStart"/>
            <w:r w:rsidRPr="00BB6302">
              <w:rPr>
                <w:rFonts w:ascii="微軟正黑體" w:eastAsia="微軟正黑體" w:hAnsi="微軟正黑體" w:cs="細明體" w:hint="eastAsia"/>
                <w:color w:val="000000" w:themeColor="text1"/>
                <w:kern w:val="0"/>
                <w:sz w:val="22"/>
                <w:szCs w:val="20"/>
              </w:rPr>
              <w:t>之前條</w:t>
            </w:r>
            <w:proofErr w:type="gramEnd"/>
            <w:r w:rsidRPr="00BB6302">
              <w:rPr>
                <w:rFonts w:ascii="微軟正黑體" w:eastAsia="微軟正黑體" w:hAnsi="微軟正黑體" w:cs="細明體" w:hint="eastAsia"/>
                <w:color w:val="000000" w:themeColor="text1"/>
                <w:kern w:val="0"/>
                <w:sz w:val="22"/>
                <w:szCs w:val="20"/>
              </w:rPr>
              <w:t>規定施行前，尚未終結之事件，其以後之程序，依修正施行後</w:t>
            </w:r>
            <w:proofErr w:type="gramStart"/>
            <w:r w:rsidRPr="00BB6302">
              <w:rPr>
                <w:rFonts w:ascii="微軟正黑體" w:eastAsia="微軟正黑體" w:hAnsi="微軟正黑體" w:cs="細明體" w:hint="eastAsia"/>
                <w:color w:val="000000" w:themeColor="text1"/>
                <w:kern w:val="0"/>
                <w:sz w:val="22"/>
                <w:szCs w:val="20"/>
              </w:rPr>
              <w:t>之前條</w:t>
            </w:r>
            <w:proofErr w:type="gramEnd"/>
            <w:r w:rsidRPr="00BB6302">
              <w:rPr>
                <w:rFonts w:ascii="微軟正黑體" w:eastAsia="微軟正黑體" w:hAnsi="微軟正黑體" w:cs="細明體" w:hint="eastAsia"/>
                <w:color w:val="000000" w:themeColor="text1"/>
                <w:kern w:val="0"/>
                <w:sz w:val="22"/>
                <w:szCs w:val="20"/>
              </w:rPr>
              <w:t>規定終結之。</w:t>
            </w:r>
          </w:p>
          <w:p w:rsidR="00296687" w:rsidRPr="00BB6302" w:rsidRDefault="00296687" w:rsidP="00E43BEB">
            <w:pPr>
              <w:snapToGrid w:val="0"/>
              <w:spacing w:line="340" w:lineRule="exact"/>
              <w:jc w:val="both"/>
              <w:rPr>
                <w:rFonts w:ascii="微軟正黑體" w:eastAsia="微軟正黑體" w:hAnsi="微軟正黑體"/>
                <w:color w:val="000000" w:themeColor="text1"/>
                <w:kern w:val="0"/>
                <w:sz w:val="22"/>
                <w:szCs w:val="20"/>
              </w:rPr>
            </w:pPr>
          </w:p>
        </w:tc>
        <w:tc>
          <w:tcPr>
            <w:tcW w:w="3686" w:type="dxa"/>
            <w:shd w:val="clear" w:color="auto" w:fill="auto"/>
          </w:tcPr>
          <w:p w:rsidR="00296687" w:rsidRPr="00BB6302" w:rsidRDefault="00296687" w:rsidP="00E43BEB">
            <w:pPr>
              <w:snapToGrid w:val="0"/>
              <w:spacing w:line="340" w:lineRule="exact"/>
              <w:jc w:val="both"/>
              <w:rPr>
                <w:rFonts w:ascii="微軟正黑體" w:eastAsia="微軟正黑體" w:hAnsi="微軟正黑體"/>
                <w:color w:val="000000" w:themeColor="text1"/>
                <w:kern w:val="0"/>
                <w:sz w:val="22"/>
                <w:szCs w:val="20"/>
              </w:rPr>
            </w:pPr>
            <w:r w:rsidRPr="00BB6302">
              <w:rPr>
                <w:rFonts w:ascii="微軟正黑體" w:eastAsia="微軟正黑體" w:hAnsi="微軟正黑體" w:hint="eastAsia"/>
                <w:color w:val="000000" w:themeColor="text1"/>
                <w:kern w:val="0"/>
                <w:sz w:val="22"/>
                <w:szCs w:val="20"/>
              </w:rPr>
              <w:lastRenderedPageBreak/>
              <w:t>第54條</w:t>
            </w:r>
          </w:p>
          <w:p w:rsidR="00296687" w:rsidRPr="00BB6302" w:rsidRDefault="00296687" w:rsidP="00E43BEB">
            <w:pPr>
              <w:snapToGrid w:val="0"/>
              <w:spacing w:line="340" w:lineRule="exact"/>
              <w:jc w:val="both"/>
              <w:rPr>
                <w:rFonts w:ascii="微軟正黑體" w:eastAsia="微軟正黑體" w:hAnsi="微軟正黑體"/>
                <w:color w:val="000000" w:themeColor="text1"/>
                <w:kern w:val="0"/>
                <w:sz w:val="22"/>
                <w:szCs w:val="20"/>
              </w:rPr>
            </w:pPr>
            <w:r w:rsidRPr="00BB6302">
              <w:rPr>
                <w:rFonts w:ascii="微軟正黑體" w:eastAsia="微軟正黑體" w:hAnsi="微軟正黑體"/>
                <w:color w:val="000000" w:themeColor="text1"/>
                <w:kern w:val="0"/>
                <w:sz w:val="22"/>
                <w:szCs w:val="20"/>
              </w:rPr>
              <w:t>高級中等學校應設學生申訴評議委員會，審議學生與學生自治組織不服學校影響其權益之懲處或其他措施及決議之申訴事件。</w:t>
            </w:r>
          </w:p>
          <w:p w:rsidR="00296687" w:rsidRPr="00BB6302" w:rsidRDefault="00296687" w:rsidP="00E43BEB">
            <w:pPr>
              <w:snapToGrid w:val="0"/>
              <w:spacing w:line="340" w:lineRule="exact"/>
              <w:jc w:val="both"/>
              <w:rPr>
                <w:rFonts w:ascii="微軟正黑體" w:eastAsia="微軟正黑體" w:hAnsi="微軟正黑體"/>
                <w:color w:val="000000" w:themeColor="text1"/>
                <w:kern w:val="0"/>
                <w:sz w:val="22"/>
                <w:szCs w:val="20"/>
              </w:rPr>
            </w:pPr>
          </w:p>
          <w:p w:rsidR="00296687" w:rsidRPr="00BB6302" w:rsidRDefault="00296687" w:rsidP="00E43BEB">
            <w:pPr>
              <w:snapToGrid w:val="0"/>
              <w:spacing w:line="340" w:lineRule="exact"/>
              <w:jc w:val="both"/>
              <w:rPr>
                <w:rFonts w:ascii="微軟正黑體" w:eastAsia="微軟正黑體" w:hAnsi="微軟正黑體"/>
                <w:color w:val="000000" w:themeColor="text1"/>
                <w:kern w:val="0"/>
                <w:sz w:val="22"/>
                <w:szCs w:val="20"/>
              </w:rPr>
            </w:pPr>
            <w:r w:rsidRPr="00BB6302">
              <w:rPr>
                <w:rFonts w:ascii="微軟正黑體" w:eastAsia="微軟正黑體" w:hAnsi="微軟正黑體"/>
                <w:color w:val="000000" w:themeColor="text1"/>
                <w:kern w:val="0"/>
                <w:sz w:val="22"/>
                <w:szCs w:val="20"/>
              </w:rPr>
              <w:t>前項申訴範圍、期限、委員會組成、評議方式、評議結果之執行及其他相關事項之辦法，由各該主管機關定之。</w:t>
            </w:r>
          </w:p>
        </w:tc>
      </w:tr>
    </w:tbl>
    <w:p w:rsidR="00296687" w:rsidRPr="00BB6302" w:rsidRDefault="00296687">
      <w:pPr>
        <w:rPr>
          <w:color w:val="000000" w:themeColor="text1"/>
        </w:rPr>
      </w:pPr>
    </w:p>
    <w:sectPr w:rsidR="00296687" w:rsidRPr="00BB6302" w:rsidSect="0019590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A26" w:rsidRDefault="00882A26" w:rsidP="00BB6302">
      <w:r>
        <w:separator/>
      </w:r>
    </w:p>
  </w:endnote>
  <w:endnote w:type="continuationSeparator" w:id="0">
    <w:p w:rsidR="00882A26" w:rsidRDefault="00882A26" w:rsidP="00BB6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dobe 繁黑體 Std B">
    <w:panose1 w:val="020B0700000000000000"/>
    <w:charset w:val="88"/>
    <w:family w:val="swiss"/>
    <w:notTrueType/>
    <w:pitch w:val="variable"/>
    <w:sig w:usb0="00000203" w:usb1="1A0F1900" w:usb2="00000016" w:usb3="00000000" w:csb0="00120005"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A26" w:rsidRDefault="00882A26" w:rsidP="00BB6302">
      <w:r>
        <w:separator/>
      </w:r>
    </w:p>
  </w:footnote>
  <w:footnote w:type="continuationSeparator" w:id="0">
    <w:p w:rsidR="00882A26" w:rsidRDefault="00882A26" w:rsidP="00BB63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6687"/>
    <w:rsid w:val="00195901"/>
    <w:rsid w:val="00296687"/>
    <w:rsid w:val="008666CF"/>
    <w:rsid w:val="00882A26"/>
    <w:rsid w:val="00BB63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87"/>
    <w:pPr>
      <w:widowControl w:val="0"/>
    </w:pPr>
    <w:rPr>
      <w:rFonts w:ascii="Calibri" w:eastAsia="新細明體" w:hAnsi="Calibri" w:cs="Times New Roman"/>
    </w:rPr>
  </w:style>
  <w:style w:type="paragraph" w:styleId="2">
    <w:name w:val="heading 2"/>
    <w:basedOn w:val="a"/>
    <w:next w:val="a"/>
    <w:link w:val="20"/>
    <w:uiPriority w:val="9"/>
    <w:unhideWhenUsed/>
    <w:qFormat/>
    <w:rsid w:val="00296687"/>
    <w:pPr>
      <w:keepNext/>
      <w:snapToGrid w:val="0"/>
      <w:ind w:left="560" w:hangingChars="200" w:hanging="560"/>
      <w:outlineLvl w:val="1"/>
    </w:pPr>
    <w:rPr>
      <w:rFonts w:ascii="Adobe 繁黑體 Std B" w:eastAsia="Adobe 繁黑體 Std B" w:hAnsi="Adobe 繁黑體 Std B"/>
      <w:b/>
      <w:bCs/>
      <w:color w:val="538135"/>
      <w:kern w:val="0"/>
      <w:sz w:val="28"/>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qFormat/>
    <w:rsid w:val="00296687"/>
    <w:rPr>
      <w:rFonts w:ascii="Adobe 繁黑體 Std B" w:eastAsia="Adobe 繁黑體 Std B" w:hAnsi="Adobe 繁黑體 Std B" w:cs="Times New Roman"/>
      <w:b/>
      <w:bCs/>
      <w:color w:val="538135"/>
      <w:kern w:val="0"/>
      <w:sz w:val="28"/>
      <w:szCs w:val="30"/>
    </w:rPr>
  </w:style>
  <w:style w:type="paragraph" w:customStyle="1" w:styleId="a1xi">
    <w:name w:val="..a1xi"/>
    <w:basedOn w:val="a"/>
    <w:qFormat/>
    <w:rsid w:val="00296687"/>
    <w:pPr>
      <w:snapToGrid w:val="0"/>
      <w:spacing w:line="340" w:lineRule="exact"/>
      <w:jc w:val="both"/>
    </w:pPr>
    <w:rPr>
      <w:rFonts w:ascii="微軟正黑體" w:eastAsia="微軟正黑體" w:hAnsi="微軟正黑體" w:cs="細明體"/>
      <w:color w:val="000000"/>
      <w:kern w:val="0"/>
      <w:sz w:val="22"/>
    </w:rPr>
  </w:style>
  <w:style w:type="paragraph" w:styleId="a3">
    <w:name w:val="header"/>
    <w:basedOn w:val="a"/>
    <w:link w:val="a4"/>
    <w:uiPriority w:val="99"/>
    <w:semiHidden/>
    <w:unhideWhenUsed/>
    <w:rsid w:val="00BB6302"/>
    <w:pPr>
      <w:tabs>
        <w:tab w:val="center" w:pos="4153"/>
        <w:tab w:val="right" w:pos="8306"/>
      </w:tabs>
      <w:snapToGrid w:val="0"/>
    </w:pPr>
    <w:rPr>
      <w:sz w:val="20"/>
      <w:szCs w:val="20"/>
    </w:rPr>
  </w:style>
  <w:style w:type="character" w:customStyle="1" w:styleId="a4">
    <w:name w:val="頁首 字元"/>
    <w:basedOn w:val="a0"/>
    <w:link w:val="a3"/>
    <w:uiPriority w:val="99"/>
    <w:semiHidden/>
    <w:rsid w:val="00BB6302"/>
    <w:rPr>
      <w:rFonts w:ascii="Calibri" w:eastAsia="新細明體" w:hAnsi="Calibri" w:cs="Times New Roman"/>
      <w:sz w:val="20"/>
      <w:szCs w:val="20"/>
    </w:rPr>
  </w:style>
  <w:style w:type="paragraph" w:styleId="a5">
    <w:name w:val="footer"/>
    <w:basedOn w:val="a"/>
    <w:link w:val="a6"/>
    <w:uiPriority w:val="99"/>
    <w:semiHidden/>
    <w:unhideWhenUsed/>
    <w:rsid w:val="00BB6302"/>
    <w:pPr>
      <w:tabs>
        <w:tab w:val="center" w:pos="4153"/>
        <w:tab w:val="right" w:pos="8306"/>
      </w:tabs>
      <w:snapToGrid w:val="0"/>
    </w:pPr>
    <w:rPr>
      <w:sz w:val="20"/>
      <w:szCs w:val="20"/>
    </w:rPr>
  </w:style>
  <w:style w:type="character" w:customStyle="1" w:styleId="a6">
    <w:name w:val="頁尾 字元"/>
    <w:basedOn w:val="a0"/>
    <w:link w:val="a5"/>
    <w:uiPriority w:val="99"/>
    <w:semiHidden/>
    <w:rsid w:val="00BB6302"/>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2022-06-24T07:51:00Z</dcterms:created>
  <dcterms:modified xsi:type="dcterms:W3CDTF">2022-06-27T01:04:00Z</dcterms:modified>
</cp:coreProperties>
</file>