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01" w:rsidRDefault="00195901"/>
    <w:p w:rsidR="00296687" w:rsidRPr="00BB6302" w:rsidRDefault="00296687" w:rsidP="00296687">
      <w:pPr>
        <w:pStyle w:val="2"/>
        <w:rPr>
          <w:color w:val="000000" w:themeColor="text1"/>
        </w:rPr>
      </w:pPr>
      <w:bookmarkStart w:id="0" w:name="_Toc102047094"/>
      <w:r w:rsidRPr="00BB6302">
        <w:rPr>
          <w:color w:val="000000" w:themeColor="text1"/>
        </w:rPr>
        <w:t>高級中等教育法第54條修正對照表</w:t>
      </w:r>
      <w:bookmarkEnd w:id="0"/>
    </w:p>
    <w:p w:rsidR="00296687" w:rsidRPr="00BB6302" w:rsidRDefault="00296687" w:rsidP="00BB6302">
      <w:pPr>
        <w:snapToGrid w:val="0"/>
        <w:spacing w:beforeLines="50"/>
        <w:jc w:val="right"/>
        <w:rPr>
          <w:rFonts w:eastAsia="標楷體" w:cs="Calibri"/>
          <w:color w:val="000000" w:themeColor="text1"/>
          <w:sz w:val="20"/>
        </w:rPr>
      </w:pPr>
      <w:r w:rsidRPr="00BB6302">
        <w:rPr>
          <w:rFonts w:eastAsia="標楷體" w:cs="Calibri"/>
          <w:color w:val="000000" w:themeColor="text1"/>
          <w:sz w:val="20"/>
        </w:rPr>
        <w:t>修正日期：民國</w:t>
      </w:r>
      <w:r w:rsidRPr="00BB6302">
        <w:rPr>
          <w:rFonts w:eastAsia="標楷體" w:cs="Calibri"/>
          <w:color w:val="000000" w:themeColor="text1"/>
          <w:sz w:val="20"/>
        </w:rPr>
        <w:t xml:space="preserve"> 110 </w:t>
      </w:r>
      <w:r w:rsidRPr="00BB6302">
        <w:rPr>
          <w:rFonts w:eastAsia="標楷體" w:cs="Calibri"/>
          <w:color w:val="000000" w:themeColor="text1"/>
          <w:sz w:val="20"/>
        </w:rPr>
        <w:t>年</w:t>
      </w:r>
      <w:r w:rsidRPr="00BB6302">
        <w:rPr>
          <w:rFonts w:eastAsia="標楷體" w:cs="Calibri"/>
          <w:color w:val="000000" w:themeColor="text1"/>
          <w:sz w:val="20"/>
        </w:rPr>
        <w:t xml:space="preserve"> 05 </w:t>
      </w:r>
      <w:r w:rsidRPr="00BB6302">
        <w:rPr>
          <w:rFonts w:eastAsia="標楷體" w:cs="Calibri"/>
          <w:color w:val="000000" w:themeColor="text1"/>
          <w:sz w:val="20"/>
        </w:rPr>
        <w:t>月</w:t>
      </w:r>
      <w:r w:rsidRPr="00BB6302">
        <w:rPr>
          <w:rFonts w:eastAsia="標楷體" w:cs="Calibri"/>
          <w:color w:val="000000" w:themeColor="text1"/>
          <w:sz w:val="20"/>
        </w:rPr>
        <w:t xml:space="preserve"> 26 </w:t>
      </w:r>
      <w:r w:rsidRPr="00BB6302">
        <w:rPr>
          <w:rFonts w:eastAsia="標楷體" w:cs="Calibri"/>
          <w:color w:val="000000" w:themeColor="text1"/>
          <w:sz w:val="20"/>
        </w:rPr>
        <w:t>日</w:t>
      </w:r>
    </w:p>
    <w:p w:rsidR="00296687" w:rsidRPr="00BB6302" w:rsidRDefault="00296687" w:rsidP="00BB6302">
      <w:pPr>
        <w:snapToGrid w:val="0"/>
        <w:spacing w:afterLines="50"/>
        <w:jc w:val="right"/>
        <w:rPr>
          <w:rFonts w:eastAsia="標楷體" w:cs="Calibri"/>
          <w:color w:val="000000" w:themeColor="text1"/>
          <w:sz w:val="20"/>
        </w:rPr>
      </w:pPr>
      <w:r w:rsidRPr="00BB6302">
        <w:rPr>
          <w:rFonts w:eastAsia="標楷體" w:cs="Calibri"/>
          <w:color w:val="000000" w:themeColor="text1"/>
          <w:sz w:val="20"/>
        </w:rPr>
        <w:t>發文字號：華總</w:t>
      </w:r>
      <w:proofErr w:type="gramStart"/>
      <w:r w:rsidRPr="00BB6302">
        <w:rPr>
          <w:rFonts w:eastAsia="標楷體" w:cs="Calibri"/>
          <w:color w:val="000000" w:themeColor="text1"/>
          <w:sz w:val="20"/>
        </w:rPr>
        <w:t>一義字第</w:t>
      </w:r>
      <w:r w:rsidRPr="00BB6302">
        <w:rPr>
          <w:rFonts w:eastAsia="標楷體" w:cs="Calibri"/>
          <w:color w:val="000000" w:themeColor="text1"/>
          <w:sz w:val="20"/>
        </w:rPr>
        <w:t>11000049231</w:t>
      </w:r>
      <w:r w:rsidRPr="00BB6302">
        <w:rPr>
          <w:rFonts w:eastAsia="標楷體" w:cs="Calibri"/>
          <w:color w:val="000000" w:themeColor="text1"/>
          <w:sz w:val="20"/>
        </w:rPr>
        <w:t>號</w:t>
      </w:r>
      <w:proofErr w:type="gramEnd"/>
      <w:r w:rsidRPr="00BB6302">
        <w:rPr>
          <w:rFonts w:eastAsia="標楷體" w:cs="Calibri"/>
          <w:color w:val="000000" w:themeColor="text1"/>
          <w:sz w:val="20"/>
        </w:rPr>
        <w:t xml:space="preserve"> </w:t>
      </w:r>
      <w:r w:rsidRPr="00BB6302">
        <w:rPr>
          <w:rFonts w:eastAsia="標楷體" w:cs="Calibri"/>
          <w:color w:val="000000" w:themeColor="text1"/>
          <w:sz w:val="20"/>
        </w:rPr>
        <w:t>令</w:t>
      </w:r>
    </w:p>
    <w:tbl>
      <w:tblPr>
        <w:tblW w:w="96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5931"/>
        <w:gridCol w:w="3686"/>
      </w:tblGrid>
      <w:tr w:rsidR="00296687" w:rsidRPr="00BB6302" w:rsidTr="00E43BEB">
        <w:trPr>
          <w:trHeight w:val="448"/>
          <w:tblHeader/>
          <w:jc w:val="center"/>
        </w:trPr>
        <w:tc>
          <w:tcPr>
            <w:tcW w:w="5931" w:type="dxa"/>
            <w:shd w:val="clear" w:color="auto" w:fill="E2EFD9"/>
            <w:vAlign w:val="center"/>
          </w:tcPr>
          <w:p w:rsidR="00296687" w:rsidRPr="00BB6302" w:rsidRDefault="00296687" w:rsidP="00E43BEB">
            <w:pPr>
              <w:snapToGrid w:val="0"/>
              <w:jc w:val="center"/>
              <w:rPr>
                <w:rFonts w:ascii="標楷體" w:eastAsia="標楷體" w:hAnsi="標楷體"/>
                <w:b/>
                <w:color w:val="000000" w:themeColor="text1"/>
                <w:kern w:val="0"/>
                <w:sz w:val="28"/>
                <w:szCs w:val="20"/>
              </w:rPr>
            </w:pPr>
            <w:r w:rsidRPr="00BB6302">
              <w:rPr>
                <w:rFonts w:ascii="標楷體" w:eastAsia="標楷體" w:hAnsi="標楷體"/>
                <w:b/>
                <w:color w:val="000000" w:themeColor="text1"/>
                <w:kern w:val="0"/>
                <w:sz w:val="28"/>
                <w:szCs w:val="20"/>
              </w:rPr>
              <w:t>修</w:t>
            </w:r>
            <w:r w:rsidRPr="00BB6302">
              <w:rPr>
                <w:rFonts w:ascii="標楷體" w:eastAsia="標楷體" w:hAnsi="標楷體" w:hint="eastAsia"/>
                <w:b/>
                <w:color w:val="000000" w:themeColor="text1"/>
                <w:kern w:val="0"/>
                <w:sz w:val="28"/>
                <w:szCs w:val="20"/>
              </w:rPr>
              <w:t xml:space="preserve"> </w:t>
            </w:r>
            <w:r w:rsidRPr="00BB6302">
              <w:rPr>
                <w:rFonts w:ascii="標楷體" w:eastAsia="標楷體" w:hAnsi="標楷體"/>
                <w:b/>
                <w:color w:val="000000" w:themeColor="text1"/>
                <w:kern w:val="0"/>
                <w:sz w:val="28"/>
                <w:szCs w:val="20"/>
              </w:rPr>
              <w:t>正</w:t>
            </w:r>
            <w:r w:rsidRPr="00BB6302">
              <w:rPr>
                <w:rFonts w:ascii="標楷體" w:eastAsia="標楷體" w:hAnsi="標楷體" w:hint="eastAsia"/>
                <w:b/>
                <w:color w:val="000000" w:themeColor="text1"/>
                <w:kern w:val="0"/>
                <w:sz w:val="28"/>
                <w:szCs w:val="20"/>
              </w:rPr>
              <w:t xml:space="preserve"> </w:t>
            </w:r>
            <w:r w:rsidRPr="00BB6302">
              <w:rPr>
                <w:rFonts w:ascii="標楷體" w:eastAsia="標楷體" w:hAnsi="標楷體"/>
                <w:b/>
                <w:color w:val="000000" w:themeColor="text1"/>
                <w:kern w:val="0"/>
                <w:sz w:val="28"/>
                <w:szCs w:val="20"/>
              </w:rPr>
              <w:t>條</w:t>
            </w:r>
            <w:r w:rsidRPr="00BB6302">
              <w:rPr>
                <w:rFonts w:ascii="標楷體" w:eastAsia="標楷體" w:hAnsi="標楷體" w:hint="eastAsia"/>
                <w:b/>
                <w:color w:val="000000" w:themeColor="text1"/>
                <w:kern w:val="0"/>
                <w:sz w:val="28"/>
                <w:szCs w:val="20"/>
              </w:rPr>
              <w:t xml:space="preserve"> </w:t>
            </w:r>
            <w:r w:rsidRPr="00BB6302">
              <w:rPr>
                <w:rFonts w:ascii="標楷體" w:eastAsia="標楷體" w:hAnsi="標楷體"/>
                <w:b/>
                <w:color w:val="000000" w:themeColor="text1"/>
                <w:kern w:val="0"/>
                <w:sz w:val="28"/>
                <w:szCs w:val="20"/>
              </w:rPr>
              <w:t>文</w:t>
            </w:r>
          </w:p>
        </w:tc>
        <w:tc>
          <w:tcPr>
            <w:tcW w:w="3686" w:type="dxa"/>
            <w:shd w:val="clear" w:color="auto" w:fill="E2EFD9"/>
            <w:vAlign w:val="center"/>
          </w:tcPr>
          <w:p w:rsidR="00296687" w:rsidRPr="00BB6302" w:rsidRDefault="00296687" w:rsidP="00E43BEB">
            <w:pPr>
              <w:snapToGrid w:val="0"/>
              <w:jc w:val="center"/>
              <w:rPr>
                <w:rFonts w:ascii="標楷體" w:eastAsia="標楷體" w:hAnsi="標楷體"/>
                <w:b/>
                <w:color w:val="000000" w:themeColor="text1"/>
                <w:kern w:val="0"/>
                <w:sz w:val="28"/>
                <w:szCs w:val="20"/>
              </w:rPr>
            </w:pPr>
            <w:r w:rsidRPr="00BB6302">
              <w:rPr>
                <w:rFonts w:ascii="標楷體" w:eastAsia="標楷體" w:hAnsi="標楷體"/>
                <w:b/>
                <w:color w:val="000000" w:themeColor="text1"/>
                <w:kern w:val="0"/>
                <w:sz w:val="28"/>
                <w:szCs w:val="20"/>
              </w:rPr>
              <w:t>原</w:t>
            </w:r>
            <w:r w:rsidRPr="00BB6302">
              <w:rPr>
                <w:rFonts w:ascii="標楷體" w:eastAsia="標楷體" w:hAnsi="標楷體" w:hint="eastAsia"/>
                <w:b/>
                <w:color w:val="000000" w:themeColor="text1"/>
                <w:kern w:val="0"/>
                <w:sz w:val="28"/>
                <w:szCs w:val="20"/>
              </w:rPr>
              <w:t xml:space="preserve"> </w:t>
            </w:r>
            <w:r w:rsidRPr="00BB6302">
              <w:rPr>
                <w:rFonts w:ascii="標楷體" w:eastAsia="標楷體" w:hAnsi="標楷體"/>
                <w:b/>
                <w:color w:val="000000" w:themeColor="text1"/>
                <w:kern w:val="0"/>
                <w:sz w:val="28"/>
                <w:szCs w:val="20"/>
              </w:rPr>
              <w:t>條</w:t>
            </w:r>
            <w:r w:rsidRPr="00BB6302">
              <w:rPr>
                <w:rFonts w:ascii="標楷體" w:eastAsia="標楷體" w:hAnsi="標楷體" w:hint="eastAsia"/>
                <w:b/>
                <w:color w:val="000000" w:themeColor="text1"/>
                <w:kern w:val="0"/>
                <w:sz w:val="28"/>
                <w:szCs w:val="20"/>
              </w:rPr>
              <w:t xml:space="preserve"> </w:t>
            </w:r>
            <w:r w:rsidRPr="00BB6302">
              <w:rPr>
                <w:rFonts w:ascii="標楷體" w:eastAsia="標楷體" w:hAnsi="標楷體"/>
                <w:b/>
                <w:color w:val="000000" w:themeColor="text1"/>
                <w:kern w:val="0"/>
                <w:sz w:val="28"/>
                <w:szCs w:val="20"/>
              </w:rPr>
              <w:t>文</w:t>
            </w:r>
          </w:p>
        </w:tc>
      </w:tr>
      <w:tr w:rsidR="00296687" w:rsidRPr="00BB6302" w:rsidTr="00E43BEB">
        <w:trPr>
          <w:trHeight w:val="10756"/>
          <w:jc w:val="center"/>
        </w:trPr>
        <w:tc>
          <w:tcPr>
            <w:tcW w:w="5931" w:type="dxa"/>
            <w:shd w:val="clear" w:color="auto" w:fill="auto"/>
          </w:tcPr>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第 54 條 </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學生權益之救濟，依本法所定申訴、再申訴程序行之。</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學生或學生自治組織對學校之懲處、其他措施或決議，認為違法或不當致損害其權益者，得向學校提出申訴；不服學校申訴決定，得向各該主管機關提出再申訴；</w:t>
            </w:r>
            <w:proofErr w:type="gramStart"/>
            <w:r w:rsidRPr="00BB6302">
              <w:rPr>
                <w:rFonts w:ascii="微軟正黑體" w:eastAsia="微軟正黑體" w:hAnsi="微軟正黑體" w:cs="細明體" w:hint="eastAsia"/>
                <w:color w:val="000000" w:themeColor="text1"/>
                <w:kern w:val="0"/>
                <w:sz w:val="22"/>
                <w:szCs w:val="20"/>
              </w:rPr>
              <w:t>其提起訴</w:t>
            </w:r>
            <w:proofErr w:type="gramEnd"/>
            <w:r w:rsidRPr="00BB6302">
              <w:rPr>
                <w:rFonts w:ascii="微軟正黑體" w:eastAsia="微軟正黑體" w:hAnsi="微軟正黑體" w:cs="細明體" w:hint="eastAsia"/>
                <w:color w:val="000000" w:themeColor="text1"/>
                <w:kern w:val="0"/>
                <w:sz w:val="22"/>
                <w:szCs w:val="20"/>
              </w:rPr>
              <w:t>願者，受理訴願機關應於十日內，將該事件移送應受理之學生申訴評議委員會或學生再申訴評議委員會，並通知學生或學生自治組織。</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申訴之提起，應於收受或知悉懲處、其他措施或決議之次日起</w:t>
            </w:r>
            <w:proofErr w:type="gramStart"/>
            <w:r w:rsidRPr="00BB6302">
              <w:rPr>
                <w:rFonts w:ascii="微軟正黑體" w:eastAsia="微軟正黑體" w:hAnsi="微軟正黑體" w:cs="細明體" w:hint="eastAsia"/>
                <w:color w:val="000000" w:themeColor="text1"/>
                <w:kern w:val="0"/>
                <w:sz w:val="22"/>
                <w:szCs w:val="20"/>
              </w:rPr>
              <w:t>三</w:t>
            </w:r>
            <w:proofErr w:type="gramEnd"/>
            <w:r w:rsidRPr="00BB6302">
              <w:rPr>
                <w:rFonts w:ascii="微軟正黑體" w:eastAsia="微軟正黑體" w:hAnsi="微軟正黑體" w:cs="細明體" w:hint="eastAsia"/>
                <w:color w:val="000000" w:themeColor="text1"/>
                <w:kern w:val="0"/>
                <w:sz w:val="22"/>
                <w:szCs w:val="20"/>
              </w:rPr>
              <w:t>十日內以書面為之；再申訴應於申訴評議書達到之次日起</w:t>
            </w:r>
            <w:proofErr w:type="gramStart"/>
            <w:r w:rsidRPr="00BB6302">
              <w:rPr>
                <w:rFonts w:ascii="微軟正黑體" w:eastAsia="微軟正黑體" w:hAnsi="微軟正黑體" w:cs="細明體" w:hint="eastAsia"/>
                <w:color w:val="000000" w:themeColor="text1"/>
                <w:kern w:val="0"/>
                <w:sz w:val="22"/>
                <w:szCs w:val="20"/>
              </w:rPr>
              <w:t>三</w:t>
            </w:r>
            <w:proofErr w:type="gramEnd"/>
            <w:r w:rsidRPr="00BB6302">
              <w:rPr>
                <w:rFonts w:ascii="微軟正黑體" w:eastAsia="微軟正黑體" w:hAnsi="微軟正黑體" w:cs="細明體" w:hint="eastAsia"/>
                <w:color w:val="000000" w:themeColor="text1"/>
                <w:kern w:val="0"/>
                <w:sz w:val="22"/>
                <w:szCs w:val="20"/>
              </w:rPr>
              <w:t>十日內以書面為之；其</w:t>
            </w:r>
            <w:proofErr w:type="gramStart"/>
            <w:r w:rsidRPr="00BB6302">
              <w:rPr>
                <w:rFonts w:ascii="微軟正黑體" w:eastAsia="微軟正黑體" w:hAnsi="微軟正黑體" w:cs="細明體" w:hint="eastAsia"/>
                <w:color w:val="000000" w:themeColor="text1"/>
                <w:kern w:val="0"/>
                <w:sz w:val="22"/>
                <w:szCs w:val="20"/>
              </w:rPr>
              <w:t>期間，</w:t>
            </w:r>
            <w:proofErr w:type="gramEnd"/>
            <w:r w:rsidRPr="00BB6302">
              <w:rPr>
                <w:rFonts w:ascii="微軟正黑體" w:eastAsia="微軟正黑體" w:hAnsi="微軟正黑體" w:cs="細明體" w:hint="eastAsia"/>
                <w:color w:val="000000" w:themeColor="text1"/>
                <w:kern w:val="0"/>
                <w:sz w:val="22"/>
                <w:szCs w:val="20"/>
              </w:rPr>
              <w:t>以學校收受申訴書或各該主管機關</w:t>
            </w:r>
            <w:proofErr w:type="gramStart"/>
            <w:r w:rsidRPr="00BB6302">
              <w:rPr>
                <w:rFonts w:ascii="微軟正黑體" w:eastAsia="微軟正黑體" w:hAnsi="微軟正黑體" w:cs="細明體" w:hint="eastAsia"/>
                <w:color w:val="000000" w:themeColor="text1"/>
                <w:kern w:val="0"/>
                <w:sz w:val="22"/>
                <w:szCs w:val="20"/>
              </w:rPr>
              <w:t>收受再申訴</w:t>
            </w:r>
            <w:proofErr w:type="gramEnd"/>
            <w:r w:rsidRPr="00BB6302">
              <w:rPr>
                <w:rFonts w:ascii="微軟正黑體" w:eastAsia="微軟正黑體" w:hAnsi="微軟正黑體" w:cs="細明體" w:hint="eastAsia"/>
                <w:color w:val="000000" w:themeColor="text1"/>
                <w:kern w:val="0"/>
                <w:sz w:val="22"/>
                <w:szCs w:val="20"/>
              </w:rPr>
              <w:t>書之日期為</w:t>
            </w:r>
            <w:proofErr w:type="gramStart"/>
            <w:r w:rsidRPr="00BB6302">
              <w:rPr>
                <w:rFonts w:ascii="微軟正黑體" w:eastAsia="微軟正黑體" w:hAnsi="微軟正黑體" w:cs="細明體" w:hint="eastAsia"/>
                <w:color w:val="000000" w:themeColor="text1"/>
                <w:kern w:val="0"/>
                <w:sz w:val="22"/>
                <w:szCs w:val="20"/>
              </w:rPr>
              <w:t>準</w:t>
            </w:r>
            <w:proofErr w:type="gramEnd"/>
            <w:r w:rsidRPr="00BB6302">
              <w:rPr>
                <w:rFonts w:ascii="微軟正黑體" w:eastAsia="微軟正黑體" w:hAnsi="微軟正黑體" w:cs="細明體" w:hint="eastAsia"/>
                <w:color w:val="000000" w:themeColor="text1"/>
                <w:kern w:val="0"/>
                <w:sz w:val="22"/>
                <w:szCs w:val="20"/>
              </w:rPr>
              <w:t>。</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高級中等學校應設學生申訴評議委員會，委員會之組成應包括經選舉產生之學生代表或學生會代表，並應包括法律、教育、兒童及少年權利、心理或輔導專家學者至少一人；各該主管機關應設學生再申訴評議委員會，其中法律、教育、兒童及少年權利、心理或輔導專家學者人數應逾委員總數二分之一；學生申訴評議委員會及學生再申訴評議委員會，任</w:t>
            </w:r>
            <w:proofErr w:type="gramStart"/>
            <w:r w:rsidRPr="00BB6302">
              <w:rPr>
                <w:rFonts w:ascii="微軟正黑體" w:eastAsia="微軟正黑體" w:hAnsi="微軟正黑體" w:cs="細明體" w:hint="eastAsia"/>
                <w:color w:val="000000" w:themeColor="text1"/>
                <w:kern w:val="0"/>
                <w:sz w:val="22"/>
                <w:szCs w:val="20"/>
              </w:rPr>
              <w:t>一</w:t>
            </w:r>
            <w:proofErr w:type="gramEnd"/>
            <w:r w:rsidRPr="00BB6302">
              <w:rPr>
                <w:rFonts w:ascii="微軟正黑體" w:eastAsia="微軟正黑體" w:hAnsi="微軟正黑體" w:cs="細明體" w:hint="eastAsia"/>
                <w:color w:val="000000" w:themeColor="text1"/>
                <w:kern w:val="0"/>
                <w:sz w:val="22"/>
                <w:szCs w:val="20"/>
              </w:rPr>
              <w:t>性別委員人數不得少於委員總數三分之一；其申訴、再申訴範圍、期限、委員會組成、調查方式、評議方式、評議結果之執行及其他相關事項之辦法，由中央主管機關定之。</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學校受理第五十二條、第二項及前項之懲處或申訴事件，各該主管機關受理再申訴事件時，應秉持客觀、公正、專業之原則，給予受懲處人或申訴人、再申訴人充分陳述意見及答辯之機會。</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學校應以書面或其他適當方式告知受懲處人；學校及各該主管機關應以書面告知申訴人或再申訴人，各該評議決定及不服該決定之相關救濟程序。</w:t>
            </w:r>
          </w:p>
          <w:p w:rsidR="00296687" w:rsidRPr="00BB6302" w:rsidRDefault="00296687" w:rsidP="00E43BEB">
            <w:pPr>
              <w:pStyle w:val="a1xi"/>
              <w:rPr>
                <w:color w:val="000000" w:themeColor="text1"/>
                <w:szCs w:val="20"/>
              </w:rPr>
            </w:pPr>
            <w:r w:rsidRPr="00BB6302">
              <w:rPr>
                <w:rFonts w:hint="eastAsia"/>
                <w:color w:val="000000" w:themeColor="text1"/>
                <w:szCs w:val="20"/>
              </w:rPr>
              <w:t>原懲處、措施或決議性質屬行政處分者，其再申訴決定視同</w:t>
            </w:r>
            <w:r w:rsidRPr="00BB6302">
              <w:rPr>
                <w:rFonts w:hint="eastAsia"/>
                <w:color w:val="000000" w:themeColor="text1"/>
                <w:szCs w:val="20"/>
              </w:rPr>
              <w:lastRenderedPageBreak/>
              <w:t>訴願決定；不服再申訴決定者，得依法提起行政訴訟。</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b/>
                <w:bCs/>
                <w:color w:val="000000" w:themeColor="text1"/>
                <w:kern w:val="0"/>
                <w:sz w:val="22"/>
                <w:szCs w:val="20"/>
              </w:rPr>
              <w:t>第 54-1 條 </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中華民國一百十年五月十一日修正之條規定，自公布後一年施行。</w:t>
            </w:r>
          </w:p>
          <w:p w:rsidR="00296687" w:rsidRPr="00BB6302" w:rsidRDefault="00296687" w:rsidP="00E43BEB">
            <w:pPr>
              <w:snapToGrid w:val="0"/>
              <w:spacing w:line="340" w:lineRule="exact"/>
              <w:jc w:val="both"/>
              <w:rPr>
                <w:rFonts w:ascii="微軟正黑體" w:eastAsia="微軟正黑體" w:hAnsi="微軟正黑體" w:cs="細明體"/>
                <w:color w:val="000000" w:themeColor="text1"/>
                <w:kern w:val="0"/>
                <w:sz w:val="22"/>
                <w:szCs w:val="20"/>
              </w:rPr>
            </w:pPr>
            <w:r w:rsidRPr="00BB6302">
              <w:rPr>
                <w:rFonts w:ascii="微軟正黑體" w:eastAsia="微軟正黑體" w:hAnsi="微軟正黑體" w:cs="細明體" w:hint="eastAsia"/>
                <w:color w:val="000000" w:themeColor="text1"/>
                <w:kern w:val="0"/>
                <w:sz w:val="22"/>
                <w:szCs w:val="20"/>
              </w:rPr>
              <w:t>中華民國一百十年五月十一日修正</w:t>
            </w:r>
            <w:proofErr w:type="gramStart"/>
            <w:r w:rsidRPr="00BB6302">
              <w:rPr>
                <w:rFonts w:ascii="微軟正黑體" w:eastAsia="微軟正黑體" w:hAnsi="微軟正黑體" w:cs="細明體" w:hint="eastAsia"/>
                <w:color w:val="000000" w:themeColor="text1"/>
                <w:kern w:val="0"/>
                <w:sz w:val="22"/>
                <w:szCs w:val="20"/>
              </w:rPr>
              <w:t>之前條</w:t>
            </w:r>
            <w:proofErr w:type="gramEnd"/>
            <w:r w:rsidRPr="00BB6302">
              <w:rPr>
                <w:rFonts w:ascii="微軟正黑體" w:eastAsia="微軟正黑體" w:hAnsi="微軟正黑體" w:cs="細明體" w:hint="eastAsia"/>
                <w:color w:val="000000" w:themeColor="text1"/>
                <w:kern w:val="0"/>
                <w:sz w:val="22"/>
                <w:szCs w:val="20"/>
              </w:rPr>
              <w:t>規定施行前，尚未終結之事件，其以後之程序，依修正施行後</w:t>
            </w:r>
            <w:proofErr w:type="gramStart"/>
            <w:r w:rsidRPr="00BB6302">
              <w:rPr>
                <w:rFonts w:ascii="微軟正黑體" w:eastAsia="微軟正黑體" w:hAnsi="微軟正黑體" w:cs="細明體" w:hint="eastAsia"/>
                <w:color w:val="000000" w:themeColor="text1"/>
                <w:kern w:val="0"/>
                <w:sz w:val="22"/>
                <w:szCs w:val="20"/>
              </w:rPr>
              <w:t>之前條</w:t>
            </w:r>
            <w:proofErr w:type="gramEnd"/>
            <w:r w:rsidRPr="00BB6302">
              <w:rPr>
                <w:rFonts w:ascii="微軟正黑體" w:eastAsia="微軟正黑體" w:hAnsi="微軟正黑體" w:cs="細明體" w:hint="eastAsia"/>
                <w:color w:val="000000" w:themeColor="text1"/>
                <w:kern w:val="0"/>
                <w:sz w:val="22"/>
                <w:szCs w:val="20"/>
              </w:rPr>
              <w:t>規定終結之。</w:t>
            </w:r>
          </w:p>
          <w:p w:rsidR="00296687" w:rsidRPr="00BB6302" w:rsidRDefault="00296687" w:rsidP="00E43BEB">
            <w:pPr>
              <w:snapToGrid w:val="0"/>
              <w:spacing w:line="340" w:lineRule="exact"/>
              <w:jc w:val="both"/>
              <w:rPr>
                <w:rFonts w:ascii="微軟正黑體" w:eastAsia="微軟正黑體" w:hAnsi="微軟正黑體"/>
                <w:color w:val="000000" w:themeColor="text1"/>
                <w:kern w:val="0"/>
                <w:sz w:val="22"/>
                <w:szCs w:val="20"/>
              </w:rPr>
            </w:pPr>
          </w:p>
        </w:tc>
        <w:tc>
          <w:tcPr>
            <w:tcW w:w="3686" w:type="dxa"/>
            <w:shd w:val="clear" w:color="auto" w:fill="auto"/>
          </w:tcPr>
          <w:p w:rsidR="00296687" w:rsidRPr="00BB6302" w:rsidRDefault="00296687" w:rsidP="00E43BEB">
            <w:pPr>
              <w:snapToGrid w:val="0"/>
              <w:spacing w:line="340" w:lineRule="exact"/>
              <w:jc w:val="both"/>
              <w:rPr>
                <w:rFonts w:ascii="微軟正黑體" w:eastAsia="微軟正黑體" w:hAnsi="微軟正黑體"/>
                <w:color w:val="000000" w:themeColor="text1"/>
                <w:kern w:val="0"/>
                <w:sz w:val="22"/>
                <w:szCs w:val="20"/>
              </w:rPr>
            </w:pPr>
            <w:r w:rsidRPr="00BB6302">
              <w:rPr>
                <w:rFonts w:ascii="微軟正黑體" w:eastAsia="微軟正黑體" w:hAnsi="微軟正黑體" w:hint="eastAsia"/>
                <w:color w:val="000000" w:themeColor="text1"/>
                <w:kern w:val="0"/>
                <w:sz w:val="22"/>
                <w:szCs w:val="20"/>
              </w:rPr>
              <w:lastRenderedPageBreak/>
              <w:t>第54條</w:t>
            </w:r>
          </w:p>
          <w:p w:rsidR="00296687" w:rsidRPr="00BB6302" w:rsidRDefault="00296687" w:rsidP="00E43BEB">
            <w:pPr>
              <w:snapToGrid w:val="0"/>
              <w:spacing w:line="340" w:lineRule="exact"/>
              <w:jc w:val="both"/>
              <w:rPr>
                <w:rFonts w:ascii="微軟正黑體" w:eastAsia="微軟正黑體" w:hAnsi="微軟正黑體"/>
                <w:color w:val="000000" w:themeColor="text1"/>
                <w:kern w:val="0"/>
                <w:sz w:val="22"/>
                <w:szCs w:val="20"/>
              </w:rPr>
            </w:pPr>
            <w:r w:rsidRPr="00BB6302">
              <w:rPr>
                <w:rFonts w:ascii="微軟正黑體" w:eastAsia="微軟正黑體" w:hAnsi="微軟正黑體"/>
                <w:color w:val="000000" w:themeColor="text1"/>
                <w:kern w:val="0"/>
                <w:sz w:val="22"/>
                <w:szCs w:val="20"/>
              </w:rPr>
              <w:t>高級中等學校應設學生申訴評議委員會，審議學生與學生自治組織不服學校影響其權益之懲處或其他措施及決議之申訴事件。</w:t>
            </w:r>
          </w:p>
          <w:p w:rsidR="00296687" w:rsidRPr="00BB6302" w:rsidRDefault="00296687" w:rsidP="00E43BEB">
            <w:pPr>
              <w:snapToGrid w:val="0"/>
              <w:spacing w:line="340" w:lineRule="exact"/>
              <w:jc w:val="both"/>
              <w:rPr>
                <w:rFonts w:ascii="微軟正黑體" w:eastAsia="微軟正黑體" w:hAnsi="微軟正黑體"/>
                <w:color w:val="000000" w:themeColor="text1"/>
                <w:kern w:val="0"/>
                <w:sz w:val="22"/>
                <w:szCs w:val="20"/>
              </w:rPr>
            </w:pPr>
          </w:p>
          <w:p w:rsidR="00296687" w:rsidRPr="00BB6302" w:rsidRDefault="00296687" w:rsidP="00E43BEB">
            <w:pPr>
              <w:snapToGrid w:val="0"/>
              <w:spacing w:line="340" w:lineRule="exact"/>
              <w:jc w:val="both"/>
              <w:rPr>
                <w:rFonts w:ascii="微軟正黑體" w:eastAsia="微軟正黑體" w:hAnsi="微軟正黑體"/>
                <w:color w:val="000000" w:themeColor="text1"/>
                <w:kern w:val="0"/>
                <w:sz w:val="22"/>
                <w:szCs w:val="20"/>
              </w:rPr>
            </w:pPr>
            <w:r w:rsidRPr="00BB6302">
              <w:rPr>
                <w:rFonts w:ascii="微軟正黑體" w:eastAsia="微軟正黑體" w:hAnsi="微軟正黑體"/>
                <w:color w:val="000000" w:themeColor="text1"/>
                <w:kern w:val="0"/>
                <w:sz w:val="22"/>
                <w:szCs w:val="20"/>
              </w:rPr>
              <w:t>前項申訴範圍、期限、委員會組成、評議方式、評議結果之執行及其他相關事項之辦法，由各該主管機關定之。</w:t>
            </w:r>
          </w:p>
        </w:tc>
      </w:tr>
    </w:tbl>
    <w:p w:rsidR="00296687" w:rsidRPr="00BB6302" w:rsidRDefault="00296687">
      <w:pPr>
        <w:rPr>
          <w:color w:val="000000" w:themeColor="text1"/>
        </w:rPr>
      </w:pPr>
    </w:p>
    <w:sectPr w:rsidR="00296687" w:rsidRPr="00BB6302" w:rsidSect="0019590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A26" w:rsidRDefault="00882A26" w:rsidP="00BB6302">
      <w:r>
        <w:separator/>
      </w:r>
    </w:p>
  </w:endnote>
  <w:endnote w:type="continuationSeparator" w:id="0">
    <w:p w:rsidR="00882A26" w:rsidRDefault="00882A26" w:rsidP="00BB6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A26" w:rsidRDefault="00882A26" w:rsidP="00BB6302">
      <w:r>
        <w:separator/>
      </w:r>
    </w:p>
  </w:footnote>
  <w:footnote w:type="continuationSeparator" w:id="0">
    <w:p w:rsidR="00882A26" w:rsidRDefault="00882A26" w:rsidP="00BB6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687"/>
    <w:rsid w:val="00195901"/>
    <w:rsid w:val="00296687"/>
    <w:rsid w:val="008666CF"/>
    <w:rsid w:val="00882A26"/>
    <w:rsid w:val="00BB63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7"/>
    <w:pPr>
      <w:widowControl w:val="0"/>
    </w:pPr>
    <w:rPr>
      <w:rFonts w:ascii="Calibri" w:eastAsia="新細明體" w:hAnsi="Calibri" w:cs="Times New Roman"/>
    </w:rPr>
  </w:style>
  <w:style w:type="paragraph" w:styleId="2">
    <w:name w:val="heading 2"/>
    <w:basedOn w:val="a"/>
    <w:next w:val="a"/>
    <w:link w:val="20"/>
    <w:uiPriority w:val="9"/>
    <w:unhideWhenUsed/>
    <w:qFormat/>
    <w:rsid w:val="00296687"/>
    <w:pPr>
      <w:keepNext/>
      <w:snapToGrid w:val="0"/>
      <w:ind w:left="560" w:hangingChars="200" w:hanging="560"/>
      <w:outlineLvl w:val="1"/>
    </w:pPr>
    <w:rPr>
      <w:rFonts w:ascii="Adobe 繁黑體 Std B" w:eastAsia="Adobe 繁黑體 Std B" w:hAnsi="Adobe 繁黑體 Std B"/>
      <w:b/>
      <w:bCs/>
      <w:color w:val="538135"/>
      <w:kern w:val="0"/>
      <w:sz w:val="2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qFormat/>
    <w:rsid w:val="00296687"/>
    <w:rPr>
      <w:rFonts w:ascii="Adobe 繁黑體 Std B" w:eastAsia="Adobe 繁黑體 Std B" w:hAnsi="Adobe 繁黑體 Std B" w:cs="Times New Roman"/>
      <w:b/>
      <w:bCs/>
      <w:color w:val="538135"/>
      <w:kern w:val="0"/>
      <w:sz w:val="28"/>
      <w:szCs w:val="30"/>
    </w:rPr>
  </w:style>
  <w:style w:type="paragraph" w:customStyle="1" w:styleId="a1xi">
    <w:name w:val="..a1xi"/>
    <w:basedOn w:val="a"/>
    <w:qFormat/>
    <w:rsid w:val="00296687"/>
    <w:pPr>
      <w:snapToGrid w:val="0"/>
      <w:spacing w:line="340" w:lineRule="exact"/>
      <w:jc w:val="both"/>
    </w:pPr>
    <w:rPr>
      <w:rFonts w:ascii="微軟正黑體" w:eastAsia="微軟正黑體" w:hAnsi="微軟正黑體" w:cs="細明體"/>
      <w:color w:val="000000"/>
      <w:kern w:val="0"/>
      <w:sz w:val="22"/>
    </w:rPr>
  </w:style>
  <w:style w:type="paragraph" w:styleId="a3">
    <w:name w:val="header"/>
    <w:basedOn w:val="a"/>
    <w:link w:val="a4"/>
    <w:uiPriority w:val="99"/>
    <w:semiHidden/>
    <w:unhideWhenUsed/>
    <w:rsid w:val="00BB6302"/>
    <w:pPr>
      <w:tabs>
        <w:tab w:val="center" w:pos="4153"/>
        <w:tab w:val="right" w:pos="8306"/>
      </w:tabs>
      <w:snapToGrid w:val="0"/>
    </w:pPr>
    <w:rPr>
      <w:sz w:val="20"/>
      <w:szCs w:val="20"/>
    </w:rPr>
  </w:style>
  <w:style w:type="character" w:customStyle="1" w:styleId="a4">
    <w:name w:val="頁首 字元"/>
    <w:basedOn w:val="a0"/>
    <w:link w:val="a3"/>
    <w:uiPriority w:val="99"/>
    <w:semiHidden/>
    <w:rsid w:val="00BB6302"/>
    <w:rPr>
      <w:rFonts w:ascii="Calibri" w:eastAsia="新細明體" w:hAnsi="Calibri" w:cs="Times New Roman"/>
      <w:sz w:val="20"/>
      <w:szCs w:val="20"/>
    </w:rPr>
  </w:style>
  <w:style w:type="paragraph" w:styleId="a5">
    <w:name w:val="footer"/>
    <w:basedOn w:val="a"/>
    <w:link w:val="a6"/>
    <w:uiPriority w:val="99"/>
    <w:semiHidden/>
    <w:unhideWhenUsed/>
    <w:rsid w:val="00BB6302"/>
    <w:pPr>
      <w:tabs>
        <w:tab w:val="center" w:pos="4153"/>
        <w:tab w:val="right" w:pos="8306"/>
      </w:tabs>
      <w:snapToGrid w:val="0"/>
    </w:pPr>
    <w:rPr>
      <w:sz w:val="20"/>
      <w:szCs w:val="20"/>
    </w:rPr>
  </w:style>
  <w:style w:type="character" w:customStyle="1" w:styleId="a6">
    <w:name w:val="頁尾 字元"/>
    <w:basedOn w:val="a0"/>
    <w:link w:val="a5"/>
    <w:uiPriority w:val="99"/>
    <w:semiHidden/>
    <w:rsid w:val="00BB630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2022-06-24T07:51:00Z</dcterms:created>
  <dcterms:modified xsi:type="dcterms:W3CDTF">2022-06-27T01:04:00Z</dcterms:modified>
</cp:coreProperties>
</file>